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orp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right"/>
        <w:rPr>
          <w:rStyle w:val="Aucun"/>
          <w:rFonts w:ascii="Helvetica" w:cs="Helvetica" w:hAnsi="Helvetica" w:eastAsia="Helvetica"/>
          <w:outline w:val="0"/>
          <w:color w:val="0050b0"/>
          <w:u w:color="0050b0"/>
          <w14:textFill>
            <w14:solidFill>
              <w14:srgbClr w14:val="0050B0"/>
            </w14:solidFill>
          </w14:textFill>
        </w:rPr>
      </w:pPr>
      <w:r>
        <w:rPr>
          <w:rStyle w:val="Hyperlink.0"/>
        </w:rPr>
        <w:fldChar w:fldCharType="begin" w:fldLock="0"/>
      </w:r>
      <w:r>
        <w:rPr>
          <w:rStyle w:val="Hyperlink.0"/>
        </w:rPr>
        <w:instrText xml:space="preserve"> HYPERLINK "https://ed560.ed.univ-paris-diderot.fr/"</w:instrText>
      </w:r>
      <w:r>
        <w:rPr>
          <w:rStyle w:val="Hyperlink.0"/>
        </w:rPr>
        <w:fldChar w:fldCharType="separate" w:fldLock="0"/>
      </w:r>
      <w:r>
        <w:rPr>
          <w:rStyle w:val="Hyperlink.0"/>
          <w:rtl w:val="0"/>
          <w:lang w:val="pt-PT"/>
        </w:rPr>
        <w:t>https://ed560.ed.univ-paris-diderot.f</w:t>
      </w:r>
      <w:r>
        <w:rPr>
          <w:rStyle w:val="Aucun"/>
          <w:rtl w:val="0"/>
        </w:rPr>
        <w:t>r</w:t>
      </w:r>
      <w:r>
        <w:rPr/>
        <w:fldChar w:fldCharType="end" w:fldLock="0"/>
      </w:r>
      <w:r>
        <w:rPr>
          <w:rStyle w:val="Aucun"/>
          <w:rFonts w:ascii="Helvetica" w:cs="Helvetica" w:hAnsi="Helvetica" w:eastAsia="Helvetica"/>
          <w:outline w:val="0"/>
          <w:color w:val="0050b0"/>
          <w:u w:color="0050b0"/>
          <w14:textFill>
            <w14:solidFill>
              <w14:srgbClr w14:val="0050B0"/>
            </w14:solidFill>
          </w14:textFill>
        </w:rPr>
        <mc:AlternateContent>
          <mc:Choice Requires="wpg">
            <w:drawing xmlns:a="http://schemas.openxmlformats.org/drawingml/2006/main">
              <wp:anchor distT="0" distB="0" distL="0" distR="0" simplePos="0" relativeHeight="251659264" behindDoc="0" locked="0" layoutInCell="1" allowOverlap="1">
                <wp:simplePos x="0" y="0"/>
                <wp:positionH relativeFrom="page">
                  <wp:posOffset>1071414</wp:posOffset>
                </wp:positionH>
                <wp:positionV relativeFrom="page">
                  <wp:posOffset>540384</wp:posOffset>
                </wp:positionV>
                <wp:extent cx="5417482" cy="1248570"/>
                <wp:effectExtent l="0" t="0" r="0" b="0"/>
                <wp:wrapSquare wrapText="largest" distL="0" distR="0" distT="0" distB="0"/>
                <wp:docPr id="1073741828" name="officeArt object" descr="Grouper"/>
                <wp:cNvGraphicFramePr/>
                <a:graphic xmlns:a="http://schemas.openxmlformats.org/drawingml/2006/main">
                  <a:graphicData uri="http://schemas.microsoft.com/office/word/2010/wordprocessingGroup">
                    <wpg:wgp>
                      <wpg:cNvGrpSpPr/>
                      <wpg:grpSpPr>
                        <a:xfrm>
                          <a:off x="0" y="0"/>
                          <a:ext cx="5417482" cy="1248570"/>
                          <a:chOff x="0" y="0"/>
                          <a:chExt cx="5417481" cy="1248569"/>
                        </a:xfrm>
                      </wpg:grpSpPr>
                      <wps:wsp>
                        <wps:cNvPr id="1073741826" name="Rectangle"/>
                        <wps:cNvSpPr/>
                        <wps:spPr>
                          <a:xfrm>
                            <a:off x="-1" y="-1"/>
                            <a:ext cx="5417482" cy="1248571"/>
                          </a:xfrm>
                          <a:prstGeom prst="rect">
                            <a:avLst/>
                          </a:prstGeom>
                          <a:solidFill>
                            <a:srgbClr val="FFFFFF"/>
                          </a:solidFill>
                          <a:ln w="12700" cap="flat">
                            <a:noFill/>
                            <a:miter lim="400000"/>
                          </a:ln>
                          <a:effectLst/>
                        </wps:spPr>
                        <wps:bodyPr/>
                      </wps:wsp>
                      <pic:pic xmlns:pic="http://schemas.openxmlformats.org/drawingml/2006/picture">
                        <pic:nvPicPr>
                          <pic:cNvPr id="1073741827" name="image.png" descr="image.png"/>
                          <pic:cNvPicPr>
                            <a:picLocks noChangeAspect="1"/>
                          </pic:cNvPicPr>
                        </pic:nvPicPr>
                        <pic:blipFill>
                          <a:blip r:embed="rId4">
                            <a:extLst/>
                          </a:blip>
                          <a:stretch>
                            <a:fillRect/>
                          </a:stretch>
                        </pic:blipFill>
                        <pic:spPr>
                          <a:xfrm>
                            <a:off x="-1" y="0"/>
                            <a:ext cx="5417483" cy="1248570"/>
                          </a:xfrm>
                          <a:prstGeom prst="rect">
                            <a:avLst/>
                          </a:prstGeom>
                          <a:ln w="12700" cap="flat">
                            <a:noFill/>
                            <a:miter lim="400000"/>
                          </a:ln>
                          <a:effectLst/>
                        </pic:spPr>
                      </pic:pic>
                    </wpg:wgp>
                  </a:graphicData>
                </a:graphic>
              </wp:anchor>
            </w:drawing>
          </mc:Choice>
          <mc:Fallback>
            <w:pict>
              <v:group id="_x0000_s1026" style="visibility:visible;position:absolute;margin-left:84.4pt;margin-top:42.5pt;width:426.6pt;height:98.3pt;z-index:251659264;mso-position-horizontal:absolute;mso-position-horizontal-relative:page;mso-position-vertical:absolute;mso-position-vertical-relative:page;mso-wrap-distance-left:0.0pt;mso-wrap-distance-top:0.0pt;mso-wrap-distance-right:0.0pt;mso-wrap-distance-bottom:0.0pt;" coordorigin="0,0" coordsize="5417482,1248570">
                <w10:wrap type="square" side="largest" anchorx="page" anchory="page"/>
                <v:rect id="_x0000_s1027" style="position:absolute;left:0;top:0;width:5417481;height:1248569;">
                  <v:fill color="#FFFFFF"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5417482;height:1248570;">
                  <v:imagedata r:id="rId4" o:title="image1.png"/>
                </v:shape>
              </v:group>
            </w:pict>
          </mc:Fallback>
        </mc:AlternateContent>
      </w:r>
      <w:r>
        <w:rPr>
          <w:rStyle w:val="Aucun"/>
          <w:rFonts w:ascii="Helvetica" w:hAnsi="Helvetica"/>
          <w:outline w:val="0"/>
          <w:color w:val="0050b0"/>
          <w:u w:color="0050b0"/>
          <w:rtl w:val="0"/>
          <w14:textFill>
            <w14:solidFill>
              <w14:srgbClr w14:val="0050B0"/>
            </w14:solidFill>
          </w14:textFill>
        </w:rPr>
        <w:t xml:space="preserve"> </w:t>
      </w:r>
    </w:p>
    <w:p>
      <w:pPr>
        <w:pStyle w:val="Corps"/>
        <w:widowControl w:val="0"/>
        <w:pBdr>
          <w:top w:val="nil"/>
          <w:left w:val="nil"/>
          <w:bottom w:val="single" w:color="000000" w:sz="12" w:space="0" w:shadow="0" w:frame="0"/>
          <w:right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Style w:val="Aucun"/>
          <w:rFonts w:ascii="Helvetica" w:cs="Helvetica" w:hAnsi="Helvetica" w:eastAsia="Helvetica"/>
          <w:outline w:val="0"/>
          <w:color w:val="0050b0"/>
          <w:u w:color="0050b0"/>
          <w14:textFill>
            <w14:solidFill>
              <w14:srgbClr w14:val="0050B0"/>
            </w14:solidFill>
          </w14:textFill>
        </w:rPr>
      </w:pPr>
    </w:p>
    <w:p>
      <w:pPr>
        <w:pStyle w:val="Corps"/>
      </w:pPr>
      <w:r>
        <w:rPr>
          <w:rStyle w:val="Aucun"/>
          <w:rFonts w:ascii="Helvetica" w:hAnsi="Helvetica"/>
          <w:b w:val="1"/>
          <w:bCs w:val="1"/>
          <w:rtl w:val="0"/>
          <w:lang w:val="fr-FR"/>
        </w:rPr>
        <w:t>Titre du sujet</w:t>
      </w:r>
      <w:r>
        <w:rPr>
          <w:rStyle w:val="Aucun"/>
          <w:rFonts w:ascii="Helvetica" w:hAnsi="Helvetica" w:hint="default"/>
          <w:b w:val="1"/>
          <w:bCs w:val="1"/>
          <w:rtl w:val="0"/>
          <w:lang w:val="fr-FR"/>
        </w:rPr>
        <w:t> </w:t>
      </w:r>
      <w:r>
        <w:rPr>
          <w:rStyle w:val="Aucun"/>
          <w:rFonts w:ascii="Helvetica" w:hAnsi="Helvetica"/>
          <w:b w:val="1"/>
          <w:bCs w:val="1"/>
          <w:rtl w:val="0"/>
        </w:rPr>
        <w:t xml:space="preserve">: </w:t>
      </w:r>
      <w:r>
        <w:rPr>
          <w:rStyle w:val="Aucun"/>
          <w:b w:val="1"/>
          <w:bCs w:val="1"/>
          <w:rtl w:val="0"/>
          <w:lang w:val="en-US"/>
        </w:rPr>
        <w:t>Geochemical resilience of drinking water production and distribution systems facing climate</w:t>
      </w:r>
      <w:r>
        <w:rPr>
          <w:rStyle w:val="Aucun"/>
          <w:b w:val="1"/>
          <w:bCs w:val="1"/>
          <w:rtl w:val="0"/>
          <w:lang w:val="fr-FR"/>
        </w:rPr>
        <w:t xml:space="preserve"> </w:t>
      </w:r>
      <w:r>
        <w:rPr>
          <w:rStyle w:val="Aucun"/>
          <w:b w:val="1"/>
          <w:bCs w:val="1"/>
          <w:rtl w:val="0"/>
          <w:lang w:val="en-US"/>
        </w:rPr>
        <w:t>perturbations: nanoparticle and trace metal dynamics from watershed to tap</w:t>
      </w:r>
    </w:p>
    <w:p>
      <w:pPr>
        <w:pStyle w:val="Corp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Style w:val="Aucun"/>
          <w:rFonts w:ascii="Helvetica" w:cs="Helvetica" w:hAnsi="Helvetica" w:eastAsia="Helvetica"/>
          <w:b w:val="1"/>
          <w:bCs w:val="1"/>
        </w:rPr>
      </w:pPr>
    </w:p>
    <w:p>
      <w:pPr>
        <w:pStyle w:val="Corps"/>
      </w:pPr>
      <w:r>
        <w:rPr>
          <w:rStyle w:val="Aucun"/>
          <w:rtl w:val="0"/>
          <w:lang w:val="fr-FR"/>
        </w:rPr>
        <w:t>Directeur (trice)</w:t>
      </w:r>
      <w:r>
        <w:rPr>
          <w:rStyle w:val="Aucun"/>
          <w:rtl w:val="0"/>
        </w:rPr>
        <w:t> </w:t>
      </w:r>
      <w:r>
        <w:rPr>
          <w:rStyle w:val="Aucun"/>
          <w:rtl w:val="0"/>
        </w:rPr>
        <w:t xml:space="preserve">:  </w:t>
      </w:r>
      <w:r>
        <w:rPr>
          <w:rStyle w:val="Aucun"/>
          <w:b w:val="1"/>
          <w:bCs w:val="1"/>
          <w:rtl w:val="0"/>
          <w:lang w:val="da-DK"/>
        </w:rPr>
        <w:t>GAILLARDET, J</w:t>
      </w:r>
      <w:r>
        <w:rPr>
          <w:rStyle w:val="Aucun"/>
          <w:b w:val="1"/>
          <w:bCs w:val="1"/>
          <w:rtl w:val="0"/>
          <w:lang w:val="fr-FR"/>
        </w:rPr>
        <w:t>é</w:t>
      </w:r>
      <w:r>
        <w:rPr>
          <w:rStyle w:val="Aucun"/>
          <w:b w:val="1"/>
          <w:bCs w:val="1"/>
          <w:rtl w:val="0"/>
        </w:rPr>
        <w:t>r</w:t>
      </w:r>
      <w:r>
        <w:rPr>
          <w:rStyle w:val="Aucun"/>
          <w:b w:val="1"/>
          <w:bCs w:val="1"/>
          <w:rtl w:val="0"/>
        </w:rPr>
        <w:t>ô</w:t>
      </w:r>
      <w:r>
        <w:rPr>
          <w:rStyle w:val="Aucun"/>
          <w:b w:val="1"/>
          <w:bCs w:val="1"/>
          <w:rtl w:val="0"/>
          <w:lang w:val="fr-FR"/>
        </w:rPr>
        <w:t>me, PR, gaillard@ipgp.fr</w:t>
      </w:r>
    </w:p>
    <w:p>
      <w:pPr>
        <w:pStyle w:val="Corps"/>
      </w:pPr>
      <w:r>
        <w:rPr>
          <w:rStyle w:val="Aucun"/>
          <w:rtl w:val="0"/>
          <w:lang w:val="it-IT"/>
        </w:rPr>
        <w:t>Co-encadrant(e)</w:t>
      </w:r>
      <w:r>
        <w:rPr>
          <w:rStyle w:val="Aucun"/>
          <w:rtl w:val="0"/>
        </w:rPr>
        <w:t> </w:t>
      </w:r>
      <w:r>
        <w:rPr>
          <w:rStyle w:val="Aucun"/>
          <w:rtl w:val="0"/>
        </w:rPr>
        <w:t xml:space="preserve">: </w:t>
      </w:r>
      <w:r>
        <w:rPr>
          <w:rStyle w:val="Aucun"/>
          <w:b w:val="1"/>
          <w:bCs w:val="1"/>
          <w:rtl w:val="0"/>
          <w:lang w:val="de-DE"/>
        </w:rPr>
        <w:t>THARAUD, Micka</w:t>
      </w:r>
      <w:r>
        <w:rPr>
          <w:rStyle w:val="Aucun"/>
          <w:b w:val="1"/>
          <w:bCs w:val="1"/>
          <w:rtl w:val="0"/>
          <w:lang w:val="nl-NL"/>
        </w:rPr>
        <w:t>ë</w:t>
      </w:r>
      <w:r>
        <w:rPr>
          <w:rStyle w:val="Aucun"/>
          <w:b w:val="1"/>
          <w:bCs w:val="1"/>
          <w:rtl w:val="0"/>
          <w:lang w:val="en-US"/>
        </w:rPr>
        <w:t>l, IR, tharaud@ipgp.fr</w:t>
      </w:r>
    </w:p>
    <w:p>
      <w:pPr>
        <w:pStyle w:val="Corps"/>
        <w:rPr>
          <w:rStyle w:val="Aucun"/>
          <w:rFonts w:ascii="Helvetica" w:cs="Helvetica" w:hAnsi="Helvetica" w:eastAsia="Helvetica"/>
        </w:rPr>
      </w:pPr>
      <w:r>
        <w:rPr>
          <w:rStyle w:val="Aucun"/>
          <w:rtl w:val="0"/>
          <w:lang w:val="fr-FR"/>
        </w:rPr>
        <w:t>Equipe d</w:t>
      </w:r>
      <w:r>
        <w:rPr>
          <w:rStyle w:val="Aucun"/>
          <w:rFonts w:ascii="Arial Unicode MS" w:hAnsi="Arial Unicode MS" w:hint="default"/>
          <w:rtl w:val="1"/>
          <w:lang w:val="ar-SA" w:bidi="ar-SA"/>
        </w:rPr>
        <w:t>’</w:t>
      </w:r>
      <w:r>
        <w:rPr>
          <w:rStyle w:val="Aucun"/>
          <w:rtl w:val="0"/>
          <w:lang w:val="fr-FR"/>
        </w:rPr>
        <w:t>accueil</w:t>
      </w:r>
      <w:r>
        <w:rPr>
          <w:rStyle w:val="Aucun"/>
          <w:rtl w:val="0"/>
        </w:rPr>
        <w:t> </w:t>
      </w:r>
      <w:r>
        <w:rPr>
          <w:rStyle w:val="Aucun"/>
          <w:rtl w:val="0"/>
        </w:rPr>
        <w:t xml:space="preserve">: </w:t>
      </w:r>
      <w:r>
        <w:rPr>
          <w:rStyle w:val="Aucun"/>
          <w:b w:val="1"/>
          <w:bCs w:val="1"/>
          <w:rtl w:val="0"/>
          <w:lang w:val="fr-FR"/>
        </w:rPr>
        <w:t>É</w:t>
      </w:r>
      <w:r>
        <w:rPr>
          <w:rStyle w:val="Aucun"/>
          <w:b w:val="1"/>
          <w:bCs w:val="1"/>
          <w:rtl w:val="0"/>
          <w:lang w:val="fr-FR"/>
        </w:rPr>
        <w:t>quipe G</w:t>
      </w:r>
      <w:r>
        <w:rPr>
          <w:rStyle w:val="Aucun"/>
          <w:b w:val="1"/>
          <w:bCs w:val="1"/>
          <w:rtl w:val="0"/>
          <w:lang w:val="fr-FR"/>
        </w:rPr>
        <w:t>é</w:t>
      </w:r>
      <w:r>
        <w:rPr>
          <w:rStyle w:val="Aucun"/>
          <w:b w:val="1"/>
          <w:bCs w:val="1"/>
          <w:rtl w:val="0"/>
          <w:lang w:val="fr-FR"/>
        </w:rPr>
        <w:t xml:space="preserve">ochimie des Enveloppes Externes. </w:t>
      </w:r>
      <w:r>
        <w:rPr>
          <w:rStyle w:val="Aucun"/>
          <w:rFonts w:ascii="Helvetica" w:hAnsi="Helvetica"/>
          <w:b w:val="1"/>
          <w:bCs w:val="1"/>
          <w:rtl w:val="0"/>
        </w:rPr>
        <w:t xml:space="preserve">IPGP- </w:t>
      </w:r>
      <w:r>
        <w:rPr>
          <w:rStyle w:val="Aucun"/>
          <w:rFonts w:ascii="Helvetica" w:hAnsi="Helvetica" w:hint="default"/>
          <w:b w:val="1"/>
          <w:bCs w:val="1"/>
          <w:rtl w:val="0"/>
          <w:lang w:val="fr-FR"/>
        </w:rPr>
        <w:t>É</w:t>
      </w:r>
      <w:r>
        <w:rPr>
          <w:rStyle w:val="Aucun"/>
          <w:rFonts w:ascii="Helvetica" w:hAnsi="Helvetica"/>
          <w:b w:val="1"/>
          <w:bCs w:val="1"/>
          <w:rtl w:val="0"/>
          <w:lang w:val="fr-FR"/>
        </w:rPr>
        <w:t>quipe</w:t>
      </w:r>
      <w:r>
        <w:rPr>
          <w:rStyle w:val="Aucun"/>
          <w:rFonts w:ascii="Helvetica" w:hAnsi="Helvetica" w:hint="default"/>
          <w:b w:val="1"/>
          <w:bCs w:val="1"/>
          <w:rtl w:val="0"/>
          <w:lang w:val="fr-FR"/>
        </w:rPr>
        <w:t xml:space="preserve">– </w:t>
      </w:r>
      <w:r>
        <w:rPr>
          <w:rStyle w:val="Aucun"/>
          <w:rFonts w:ascii="Helvetica" w:hAnsi="Helvetica"/>
          <w:b w:val="1"/>
          <w:bCs w:val="1"/>
          <w:rtl w:val="0"/>
          <w:lang w:val="fr-FR"/>
        </w:rPr>
        <w:t>UMR 7154</w:t>
        <w:tab/>
        <w:tab/>
        <w:tab/>
      </w:r>
    </w:p>
    <w:p>
      <w:pPr>
        <w:pStyle w:val="Corps"/>
      </w:pPr>
      <w:r>
        <w:rPr>
          <w:rStyle w:val="Aucun"/>
          <w:rtl w:val="0"/>
          <w:lang w:val="fr-FR"/>
        </w:rPr>
        <w:t>Financement</w:t>
      </w:r>
      <w:r>
        <w:rPr>
          <w:rStyle w:val="Aucun"/>
          <w:rtl w:val="0"/>
        </w:rPr>
        <w:t> </w:t>
      </w:r>
      <w:r>
        <w:rPr>
          <w:rStyle w:val="Aucun"/>
          <w:rtl w:val="0"/>
        </w:rPr>
        <w:t xml:space="preserve">: </w:t>
        <w:tab/>
      </w:r>
      <w:r>
        <w:rPr>
          <w:rStyle w:val="Aucun"/>
          <w:rFonts w:ascii="Helvetica" w:hAnsi="Helvetica"/>
          <w:b w:val="1"/>
          <w:bCs w:val="1"/>
          <w:rtl w:val="0"/>
          <w:lang w:val="fr-FR"/>
        </w:rPr>
        <w:t>Contrat doctoral avec ou sans mission d</w:t>
      </w:r>
      <w:r>
        <w:rPr>
          <w:rStyle w:val="Aucun"/>
          <w:rFonts w:ascii="Arial Unicode MS" w:hAnsi="Arial Unicode MS" w:hint="default"/>
          <w:rtl w:val="1"/>
          <w:lang w:val="ar-SA" w:bidi="ar-SA"/>
        </w:rPr>
        <w:t>’</w:t>
      </w:r>
      <w:r>
        <w:rPr>
          <w:rStyle w:val="Aucun"/>
          <w:rFonts w:ascii="Helvetica" w:hAnsi="Helvetica"/>
          <w:b w:val="1"/>
          <w:bCs w:val="1"/>
          <w:rtl w:val="0"/>
          <w:lang w:val="fr-FR"/>
        </w:rPr>
        <w:t>enseignement</w:t>
      </w:r>
    </w:p>
    <w:p>
      <w:pPr>
        <w:pStyle w:val="Corps"/>
        <w:widowControl w:val="0"/>
        <w:pBdr>
          <w:top w:val="nil"/>
          <w:left w:val="nil"/>
          <w:bottom w:val="single" w:color="000000" w:sz="12" w:space="0" w:shadow="0" w:frame="0"/>
          <w:right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Style w:val="Aucun"/>
          <w:rFonts w:ascii="Helvetica" w:cs="Helvetica" w:hAnsi="Helvetica" w:eastAsia="Helvetica"/>
          <w:b w:val="1"/>
          <w:bCs w:val="1"/>
          <w:i w:val="1"/>
          <w:iCs w:val="1"/>
        </w:rPr>
      </w:pPr>
    </w:p>
    <w:p>
      <w:pPr>
        <w:pStyle w:val="Corps"/>
      </w:pPr>
      <w:r>
        <w:rPr>
          <w:rStyle w:val="Aucun"/>
          <w:b w:val="1"/>
          <w:bCs w:val="1"/>
          <w:rtl w:val="0"/>
          <w:lang w:val="en-US"/>
        </w:rPr>
        <w:t>Scientific context</w:t>
      </w:r>
    </w:p>
    <w:p>
      <w:pPr>
        <w:pStyle w:val="Corp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after="120"/>
      </w:pPr>
      <w:r>
        <w:rPr>
          <w:rtl w:val="0"/>
          <w:lang w:val="it-IT"/>
        </w:rPr>
        <w:tab/>
        <w:t>Trace metal</w:t>
      </w:r>
      <w:r>
        <w:rPr>
          <w:rtl w:val="0"/>
          <w:lang w:val="fr-FR"/>
        </w:rPr>
        <w:t>s</w:t>
      </w:r>
      <w:r>
        <w:rPr>
          <w:rtl w:val="0"/>
          <w:lang w:val="en-US"/>
        </w:rPr>
        <w:t xml:space="preserve"> (TMs)</w:t>
      </w:r>
      <w:r>
        <w:rPr>
          <w:rtl w:val="0"/>
          <w:lang w:val="fr-FR"/>
        </w:rPr>
        <w:t xml:space="preserve"> </w:t>
      </w:r>
      <w:r>
        <w:rPr>
          <w:rtl w:val="0"/>
          <w:lang w:val="it-IT"/>
        </w:rPr>
        <w:t>(i.e lead, arsenic, cadmium, copper</w:t>
      </w:r>
      <w:r>
        <w:rPr>
          <w:rtl w:val="0"/>
          <w:lang w:val="fr-FR"/>
        </w:rPr>
        <w:t>)</w:t>
      </w:r>
      <w:r>
        <w:rPr>
          <w:rtl w:val="0"/>
          <w:lang w:val="en-US"/>
        </w:rPr>
        <w:t xml:space="preserve"> are documented drinking water contaminants with well-established health effects, whose speciation, mobility and bioavailability are tightly controlled by the physicochemical conditions of natural waters and distribution networks. Climate change is profoundly altering hydrological conditions in urban environments and increasing risks to water resource quality. Heatwaves, prolonged low-flow periods and flash floods, increasing in frequency and intensity across Western Europe, disrupt the biogeochemical conditions of both the resource and the conveyance networks. These conditions govern the speciation, mobility and bioavailability of TMs in natural waters and in the anthropogenic systems for drinking water production and distribution that rely on these natural waters. The resilience of these systems to such perturbations</w:t>
      </w:r>
      <w:r>
        <w:rPr>
          <w:rtl w:val="0"/>
          <w:lang w:val="fr-FR"/>
        </w:rPr>
        <w:t xml:space="preserve">, </w:t>
      </w:r>
      <w:r>
        <w:rPr>
          <w:rtl w:val="0"/>
          <w:lang w:val="en-US"/>
        </w:rPr>
        <w:t>particularly their capacity to maintain stable, drinkable water quality despite extreme variations in hydrological and thermal conditions</w:t>
      </w:r>
      <w:r>
        <w:rPr>
          <w:rtl w:val="0"/>
          <w:lang w:val="fr-FR"/>
        </w:rPr>
        <w:t>,</w:t>
      </w:r>
      <w:r>
        <w:rPr>
          <w:rtl w:val="0"/>
          <w:lang w:val="en-US"/>
        </w:rPr>
        <w:t xml:space="preserve"> is a fundamental scientific and operational question.</w:t>
      </w:r>
    </w:p>
    <w:p>
      <w:pPr>
        <w:pStyle w:val="Corp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after="120"/>
      </w:pPr>
      <w:r>
        <w:tab/>
      </w:r>
      <w:r>
        <w:rPr>
          <w:rtl w:val="0"/>
          <w:lang w:val="en-US"/>
        </w:rPr>
        <w:t>The "physical" speciation of TMs is equally important. Recent advances show that a poorly understood phase plays a key role: metallic nanoparticles (NPs, 1</w:t>
      </w:r>
      <w:r>
        <w:rPr>
          <w:rtl w:val="0"/>
        </w:rPr>
        <w:t>–</w:t>
      </w:r>
      <w:r>
        <w:rPr>
          <w:rtl w:val="0"/>
          <w:lang w:val="en-US"/>
        </w:rPr>
        <w:t>1000 nm), which constitute the primary transport phases for TMs. They control metal adsorption/desorption at water</w:t>
      </w:r>
      <w:r>
        <w:rPr>
          <w:rtl w:val="0"/>
        </w:rPr>
        <w:t>–</w:t>
      </w:r>
      <w:r>
        <w:rPr>
          <w:rtl w:val="0"/>
          <w:lang w:val="en-US"/>
        </w:rPr>
        <w:t>solid interfaces in watersheds, but also within engineered networks. These nanophases can form in situ through corrosion of metallic materials in distribution networks. Their dynamics are highly sensitive to physicochemical parameters such as temperature, pH, redox potential, flow rate and suspended matter load</w:t>
      </w:r>
      <w:r>
        <w:rPr>
          <w:rtl w:val="0"/>
          <w:lang w:val="fr-FR"/>
        </w:rPr>
        <w:t>,</w:t>
      </w:r>
      <w:r>
        <w:rPr>
          <w:rtl w:val="0"/>
          <w:lang w:val="en-US"/>
        </w:rPr>
        <w:t xml:space="preserve"> precisely those parameters most affected by climate perturbations.</w:t>
      </w:r>
    </w:p>
    <w:p>
      <w:pPr>
        <w:pStyle w:val="Corp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after="120"/>
      </w:pPr>
      <w:r>
        <w:tab/>
      </w:r>
      <w:r>
        <w:rPr>
          <w:rtl w:val="0"/>
          <w:lang w:val="en-US"/>
        </w:rPr>
        <w:t>Paris, one of the largest European megacities, with four drinking water treatment plants operating different treatment schemes and a 2,000 km pipeline network, constitutes an ideal laboratory for studying and understanding the geochemical aspects of TM transport in response to contrasting climate perturbations along a continuum from watershed to tap. Low-flow periods concentrate TMs and shift redox equilibria; floods resuspend deposits and overwhelm the treatment capacity of water treatment plants; heatwaves can accelerate pipeline corrosion and extend stagnation times. Paris also provides a valuable setting for examining the exposure of millions of people to these emerging contaminants as a function of socioeconomic conditions that vary across multiple scales, from individual to collective, raising questions of environmental inequality.</w:t>
      </w:r>
    </w:p>
    <w:p>
      <w:pPr>
        <w:pStyle w:val="Corp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pPr>
    </w:p>
    <w:p>
      <w:pPr>
        <w:pStyle w:val="Corp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Style w:val="Aucun"/>
          <w:b w:val="1"/>
          <w:bCs w:val="1"/>
        </w:rPr>
      </w:pPr>
      <w:r>
        <w:rPr>
          <w:rStyle w:val="Aucun"/>
          <w:b w:val="1"/>
          <w:bCs w:val="1"/>
          <w:rtl w:val="0"/>
          <w:lang w:val="en-US"/>
        </w:rPr>
        <w:t>Scientific challenges</w:t>
      </w:r>
    </w:p>
    <w:p>
      <w:pPr>
        <w:pStyle w:val="Corp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after="120"/>
        <w:rPr>
          <w:rStyle w:val="Aucun"/>
        </w:rPr>
      </w:pPr>
      <w:r>
        <w:rPr>
          <w:rStyle w:val="Aucun"/>
          <w:b w:val="1"/>
          <w:bCs w:val="1"/>
        </w:rPr>
        <w:tab/>
      </w:r>
      <w:r>
        <w:rPr>
          <w:rStyle w:val="Aucun"/>
          <w:rtl w:val="0"/>
          <w:lang w:val="en-US"/>
        </w:rPr>
        <w:t>To assess the risk associated with TM exposure in the drinking water of Paris and the greater Paris region (and to support decision-making), several scientific barriers remain:</w:t>
      </w:r>
    </w:p>
    <w:p>
      <w:pPr>
        <w:pStyle w:val="Par défaut"/>
        <w:numPr>
          <w:ilvl w:val="0"/>
          <w:numId w:val="2"/>
        </w:numPr>
        <w:suppressAutoHyphens w:val="1"/>
        <w:spacing w:before="0" w:after="120" w:line="240" w:lineRule="auto"/>
        <w:jc w:val="both"/>
        <w:rPr>
          <w:rFonts w:ascii="Arial" w:hAnsi="Arial"/>
          <w:sz w:val="22"/>
          <w:szCs w:val="22"/>
          <w:lang w:val="en-US"/>
        </w:rPr>
      </w:pPr>
      <w:r>
        <w:rPr>
          <w:rFonts w:ascii="Arial" w:hAnsi="Arial"/>
          <w:sz w:val="22"/>
          <w:szCs w:val="22"/>
          <w:rtl w:val="0"/>
          <w:lang w:val="en-US"/>
        </w:rPr>
        <w:t>The response of TM physical speciation to climate perturbations is undocumented along the watershed (or aquifer)</w:t>
      </w:r>
      <w:r>
        <w:rPr>
          <w:rFonts w:ascii="Arial" w:hAnsi="Arial"/>
          <w:sz w:val="22"/>
          <w:szCs w:val="22"/>
          <w:rtl w:val="0"/>
          <w:lang w:val="fr-FR"/>
        </w:rPr>
        <w:t xml:space="preserve">, </w:t>
      </w:r>
      <w:r>
        <w:rPr>
          <w:rFonts w:ascii="Arial" w:hAnsi="Arial"/>
          <w:sz w:val="22"/>
          <w:szCs w:val="22"/>
          <w:rtl w:val="0"/>
          <w:lang w:val="en-US"/>
        </w:rPr>
        <w:t>treatment plant</w:t>
      </w:r>
      <w:r>
        <w:rPr>
          <w:rFonts w:ascii="Arial" w:hAnsi="Arial"/>
          <w:sz w:val="22"/>
          <w:szCs w:val="22"/>
          <w:rtl w:val="0"/>
          <w:lang w:val="fr-FR"/>
        </w:rPr>
        <w:t>,</w:t>
      </w:r>
      <w:r>
        <w:rPr>
          <w:rFonts w:ascii="Arial" w:hAnsi="Arial"/>
          <w:sz w:val="22"/>
          <w:szCs w:val="22"/>
          <w:rtl w:val="0"/>
          <w:lang w:val="en-US"/>
        </w:rPr>
        <w:t xml:space="preserve"> network continuum. It is unknown how NPs transform, aggregate or dissolve during severe low-flow events, heatwaves or floods.</w:t>
      </w:r>
    </w:p>
    <w:p>
      <w:pPr>
        <w:pStyle w:val="Par défaut"/>
        <w:numPr>
          <w:ilvl w:val="0"/>
          <w:numId w:val="2"/>
        </w:numPr>
        <w:suppressAutoHyphens w:val="1"/>
        <w:spacing w:before="0" w:after="120" w:line="240" w:lineRule="auto"/>
        <w:jc w:val="both"/>
        <w:rPr>
          <w:rFonts w:ascii="Arial" w:hAnsi="Arial"/>
          <w:sz w:val="22"/>
          <w:szCs w:val="22"/>
          <w:lang w:val="en-US"/>
        </w:rPr>
      </w:pPr>
      <w:r>
        <w:rPr>
          <w:rFonts w:ascii="Arial" w:hAnsi="Arial"/>
          <w:sz w:val="22"/>
          <w:szCs w:val="22"/>
          <w:rtl w:val="0"/>
          <w:lang w:val="en-US"/>
        </w:rPr>
        <w:t>The efficiency of drinking water treatment</w:t>
      </w:r>
      <w:r>
        <w:rPr>
          <w:rFonts w:ascii="Arial" w:hAnsi="Arial"/>
          <w:sz w:val="22"/>
          <w:szCs w:val="22"/>
          <w:rtl w:val="0"/>
          <w:lang w:val="fr-FR"/>
        </w:rPr>
        <w:t>,</w:t>
      </w:r>
      <w:r>
        <w:rPr>
          <w:rFonts w:ascii="Arial" w:hAnsi="Arial"/>
          <w:sz w:val="22"/>
          <w:szCs w:val="22"/>
          <w:rtl w:val="0"/>
          <w:lang w:val="en-US"/>
        </w:rPr>
        <w:t xml:space="preserve"> coagulation-flocculation, filtration, chlorination</w:t>
      </w:r>
      <w:r>
        <w:rPr>
          <w:rFonts w:ascii="Arial" w:hAnsi="Arial"/>
          <w:sz w:val="22"/>
          <w:szCs w:val="22"/>
          <w:rtl w:val="0"/>
          <w:lang w:val="fr-FR"/>
        </w:rPr>
        <w:t>,</w:t>
      </w:r>
      <w:r>
        <w:rPr>
          <w:rFonts w:ascii="Arial" w:hAnsi="Arial"/>
          <w:sz w:val="22"/>
          <w:szCs w:val="22"/>
          <w:rtl w:val="0"/>
          <w:lang w:val="en-US"/>
        </w:rPr>
        <w:t xml:space="preserve"> when faced with raw waters of drastically different composition (suspended matter inputs during floods, nanophase concentration during low-flow periods, modification of acid-base and redox equilibria during heatwaves) is poorly constrained, particularly at the nanoparticulate scale.</w:t>
      </w:r>
    </w:p>
    <w:p>
      <w:pPr>
        <w:pStyle w:val="Par défaut"/>
        <w:numPr>
          <w:ilvl w:val="0"/>
          <w:numId w:val="2"/>
        </w:numPr>
        <w:suppressAutoHyphens w:val="1"/>
        <w:spacing w:before="0" w:after="120" w:line="240" w:lineRule="auto"/>
        <w:jc w:val="both"/>
        <w:rPr>
          <w:rFonts w:ascii="Arial" w:hAnsi="Arial"/>
          <w:sz w:val="22"/>
          <w:szCs w:val="22"/>
          <w:lang w:val="en-US"/>
        </w:rPr>
      </w:pPr>
      <w:r>
        <w:rPr>
          <w:rFonts w:ascii="Arial" w:hAnsi="Arial"/>
          <w:sz w:val="22"/>
          <w:szCs w:val="22"/>
          <w:rtl w:val="0"/>
          <w:lang w:val="en-US"/>
        </w:rPr>
        <w:t>Corrosion processes in metallic pipelines are accelerated by high temperatures and prolonged summer stagnation: the nature, mineralogy and reactivity of NPs generated under these extreme conditions remain unexplored.</w:t>
      </w:r>
    </w:p>
    <w:p>
      <w:pPr>
        <w:pStyle w:val="Par défaut"/>
        <w:numPr>
          <w:ilvl w:val="0"/>
          <w:numId w:val="2"/>
        </w:numPr>
        <w:suppressAutoHyphens w:val="1"/>
        <w:spacing w:before="0" w:after="120" w:line="240" w:lineRule="auto"/>
        <w:jc w:val="both"/>
        <w:rPr>
          <w:rFonts w:ascii="Arial" w:hAnsi="Arial"/>
          <w:sz w:val="22"/>
          <w:szCs w:val="22"/>
          <w:lang w:val="en-US"/>
        </w:rPr>
      </w:pPr>
      <w:r>
        <w:rPr>
          <w:rFonts w:ascii="Arial" w:hAnsi="Arial"/>
          <w:sz w:val="22"/>
          <w:szCs w:val="22"/>
          <w:rtl w:val="0"/>
          <w:lang w:val="en-US"/>
        </w:rPr>
        <w:t>No integrated (geochemical) framework exists linking climate perturbations to water quality at the end of the network, which would allow anticipating risks and adapting treatment strategies.</w:t>
      </w:r>
    </w:p>
    <w:p>
      <w:pPr>
        <w:pStyle w:val="Corp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pPr>
    </w:p>
    <w:p>
      <w:pPr>
        <w:pStyle w:val="Corp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pPr>
      <w:r>
        <w:rPr>
          <w:rStyle w:val="Aucun"/>
          <w:b w:val="1"/>
          <w:bCs w:val="1"/>
          <w:rtl w:val="0"/>
          <w:lang w:val="en-US"/>
        </w:rPr>
        <w:t>Research objectives</w:t>
      </w:r>
    </w:p>
    <w:p>
      <w:pPr>
        <w:pStyle w:val="Par dé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1"/>
        <w:spacing w:before="0" w:after="120" w:line="240" w:lineRule="auto"/>
        <w:jc w:val="both"/>
        <w:rPr>
          <w:rFonts w:ascii="Arial" w:cs="Arial" w:hAnsi="Arial" w:eastAsia="Arial"/>
          <w:sz w:val="22"/>
          <w:szCs w:val="22"/>
        </w:rPr>
      </w:pPr>
      <w:r>
        <w:rPr>
          <w:rFonts w:ascii="Arial" w:cs="Arial" w:hAnsi="Arial" w:eastAsia="Arial"/>
          <w:sz w:val="22"/>
          <w:szCs w:val="22"/>
        </w:rPr>
        <w:tab/>
      </w:r>
      <w:r>
        <w:rPr>
          <w:rFonts w:ascii="Arial" w:hAnsi="Arial"/>
          <w:sz w:val="22"/>
          <w:szCs w:val="22"/>
          <w:rtl w:val="0"/>
          <w:lang w:val="en-US"/>
        </w:rPr>
        <w:t>The thesis aims to better understand the dynamics of NPs and metallic TMs along the Paris drinking water production</w:t>
      </w:r>
      <w:r>
        <w:rPr>
          <w:rFonts w:ascii="Arial" w:hAnsi="Arial" w:hint="default"/>
          <w:sz w:val="22"/>
          <w:szCs w:val="22"/>
          <w:rtl w:val="0"/>
        </w:rPr>
        <w:t>–</w:t>
      </w:r>
      <w:r>
        <w:rPr>
          <w:rFonts w:ascii="Arial" w:hAnsi="Arial"/>
          <w:sz w:val="22"/>
          <w:szCs w:val="22"/>
          <w:rtl w:val="0"/>
          <w:lang w:val="en-US"/>
        </w:rPr>
        <w:t>distribution continuum, under different hydroclimatic regimes. Three objectives structure the work:</w:t>
      </w:r>
    </w:p>
    <w:p>
      <w:pPr>
        <w:pStyle w:val="Par défaut"/>
        <w:numPr>
          <w:ilvl w:val="0"/>
          <w:numId w:val="3"/>
        </w:numPr>
        <w:suppressAutoHyphens w:val="1"/>
        <w:spacing w:before="0" w:after="120" w:line="240" w:lineRule="auto"/>
        <w:jc w:val="both"/>
        <w:rPr>
          <w:rFonts w:ascii="Arial" w:hAnsi="Arial"/>
          <w:sz w:val="22"/>
          <w:szCs w:val="22"/>
          <w:lang w:val="en-US"/>
        </w:rPr>
      </w:pPr>
      <w:r>
        <w:rPr>
          <w:rFonts w:ascii="Arial" w:hAnsi="Arial"/>
          <w:sz w:val="22"/>
          <w:szCs w:val="22"/>
          <w:rtl w:val="0"/>
          <w:lang w:val="en-US"/>
        </w:rPr>
        <w:t xml:space="preserve">Geochemical response of the resource and treatments to climate perturbations: compare the physical speciation (dissolved vs. nanoparticulate) of TMs in raw waters (Seine, Marne, groundwaters) and at treatment plant outlets under contrasting regimes </w:t>
      </w:r>
      <w:r>
        <w:rPr>
          <w:rFonts w:ascii="Arial" w:hAnsi="Arial" w:hint="default"/>
          <w:sz w:val="22"/>
          <w:szCs w:val="22"/>
          <w:rtl w:val="0"/>
          <w:lang w:val="en-US"/>
        </w:rPr>
        <w:t xml:space="preserve">— </w:t>
      </w:r>
      <w:r>
        <w:rPr>
          <w:rFonts w:ascii="Arial" w:hAnsi="Arial"/>
          <w:sz w:val="22"/>
          <w:szCs w:val="22"/>
          <w:rtl w:val="0"/>
          <w:lang w:val="en-US"/>
        </w:rPr>
        <w:t>low flow, flood, heatwave; quantify the impact of changes in resource quality (turbidity, organic matter, temperature, TM concentrations) on treatment plant efficiency.</w:t>
      </w:r>
    </w:p>
    <w:p>
      <w:pPr>
        <w:pStyle w:val="Par défaut"/>
        <w:numPr>
          <w:ilvl w:val="0"/>
          <w:numId w:val="2"/>
        </w:numPr>
        <w:suppressAutoHyphens w:val="1"/>
        <w:spacing w:before="0" w:after="120" w:line="240" w:lineRule="auto"/>
        <w:jc w:val="both"/>
        <w:rPr>
          <w:rFonts w:ascii="Arial" w:hAnsi="Arial"/>
          <w:sz w:val="22"/>
          <w:szCs w:val="22"/>
          <w:lang w:val="en-US"/>
        </w:rPr>
      </w:pPr>
      <w:r>
        <w:rPr>
          <w:rFonts w:ascii="Arial" w:hAnsi="Arial"/>
          <w:sz w:val="22"/>
          <w:szCs w:val="22"/>
          <w:rtl w:val="0"/>
          <w:lang w:val="en-US"/>
        </w:rPr>
        <w:t>NP dynamics in the distribution network during extreme events: characterize NPs generated by network corrosion outside and during heatwaves (high temperatures, prolonged stagnation) as well as during post-low-flow recirculation (remobilization of deposits); track the spatiotemporal evolution of NP composition as a function of physicochemical conditions (pH, Eh, [Cl</w:t>
      </w:r>
      <w:r>
        <w:rPr>
          <w:rFonts w:ascii="Arial Unicode MS" w:cs="Arial Unicode MS" w:hAnsi="Arial Unicode MS" w:eastAsia="Arial Unicode MS" w:hint="default"/>
          <w:b w:val="0"/>
          <w:bCs w:val="0"/>
          <w:i w:val="0"/>
          <w:iCs w:val="0"/>
          <w:sz w:val="22"/>
          <w:szCs w:val="22"/>
          <w:rtl w:val="0"/>
        </w:rPr>
        <w:t>₂</w:t>
      </w:r>
      <w:r>
        <w:rPr>
          <w:rFonts w:ascii="Arial" w:hAnsi="Arial"/>
          <w:sz w:val="22"/>
          <w:szCs w:val="22"/>
          <w:rtl w:val="0"/>
          <w:lang w:val="en-US"/>
        </w:rPr>
        <w:t>], temperature, stagnation time).</w:t>
      </w:r>
    </w:p>
    <w:p>
      <w:pPr>
        <w:pStyle w:val="Par défaut"/>
        <w:numPr>
          <w:ilvl w:val="0"/>
          <w:numId w:val="2"/>
        </w:numPr>
        <w:suppressAutoHyphens w:val="1"/>
        <w:spacing w:before="0" w:after="120" w:line="240" w:lineRule="auto"/>
        <w:jc w:val="both"/>
        <w:rPr>
          <w:rFonts w:ascii="Arial" w:hAnsi="Arial"/>
          <w:sz w:val="22"/>
          <w:szCs w:val="22"/>
          <w:lang w:val="en-US"/>
        </w:rPr>
      </w:pPr>
      <w:r>
        <w:rPr>
          <w:rFonts w:ascii="Arial" w:hAnsi="Arial"/>
          <w:sz w:val="22"/>
          <w:szCs w:val="22"/>
          <w:rtl w:val="0"/>
          <w:lang w:val="en-US"/>
        </w:rPr>
        <w:t>Integrated geochemical framework of system resilience: build a conceptual model linking hydroclimatic forcings to NP and TM fluxes at each node of the continuum; identify tipping thresholds beyond which current treatments can no longer guarantee stable nanoparticulate water quality; propose geochemical resilience indicators that can be operationally used by network managers.</w:t>
      </w:r>
    </w:p>
    <w:p>
      <w:pPr>
        <w:pStyle w:val="Par défaut"/>
        <w:numPr>
          <w:ilvl w:val="0"/>
          <w:numId w:val="2"/>
        </w:numPr>
        <w:suppressAutoHyphens w:val="1"/>
        <w:spacing w:before="0" w:after="120" w:line="240" w:lineRule="auto"/>
        <w:jc w:val="both"/>
        <w:rPr>
          <w:rFonts w:ascii="Arial" w:hAnsi="Arial"/>
          <w:sz w:val="22"/>
          <w:szCs w:val="22"/>
          <w:lang w:val="en-US"/>
        </w:rPr>
      </w:pPr>
      <w:r>
        <w:rPr>
          <w:rFonts w:ascii="Arial" w:hAnsi="Arial"/>
          <w:sz w:val="22"/>
          <w:szCs w:val="22"/>
          <w:rtl w:val="0"/>
          <w:lang w:val="en-US"/>
        </w:rPr>
        <w:t>The interdisciplinary context of this work connects to the question of the habitability of urban environments. Human population exposure to TMs represents a manifestation of the planetary health and exposome concepts. Exposure depends on the above biophysical factors but also on social and economic conditions, and on individual or collective lifestyles whose potential transformation within the ecological transition involves many public and private societal actors.</w:t>
      </w:r>
    </w:p>
    <w:p>
      <w:pPr>
        <w:pStyle w:val="Corp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pPr>
    </w:p>
    <w:p>
      <w:pPr>
        <w:pStyle w:val="Corp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pPr>
      <w:r>
        <w:rPr>
          <w:rStyle w:val="Aucun"/>
          <w:b w:val="1"/>
          <w:bCs w:val="1"/>
          <w:rtl w:val="0"/>
          <w:lang w:val="en-US"/>
        </w:rPr>
        <w:t xml:space="preserve">Methodology and expected </w:t>
      </w:r>
      <w:r>
        <w:rPr>
          <w:rStyle w:val="Aucun"/>
          <w:b w:val="1"/>
          <w:bCs w:val="1"/>
          <w:rtl w:val="0"/>
          <w:lang w:val="fr-FR"/>
        </w:rPr>
        <w:t>outcome</w:t>
      </w:r>
      <w:r>
        <w:rPr>
          <w:rStyle w:val="Aucun"/>
          <w:b w:val="1"/>
          <w:bCs w:val="1"/>
          <w:rtl w:val="0"/>
        </w:rPr>
        <w:t>s</w:t>
      </w:r>
    </w:p>
    <w:p>
      <w:pPr>
        <w:pStyle w:val="Par dé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1"/>
        <w:spacing w:before="0" w:after="120" w:line="240" w:lineRule="auto"/>
        <w:jc w:val="both"/>
        <w:rPr>
          <w:rFonts w:ascii="Arial" w:cs="Arial" w:hAnsi="Arial" w:eastAsia="Arial"/>
          <w:sz w:val="22"/>
          <w:szCs w:val="22"/>
        </w:rPr>
      </w:pPr>
      <w:r>
        <w:rPr>
          <w:rFonts w:ascii="Arial" w:cs="Arial" w:hAnsi="Arial" w:eastAsia="Arial"/>
          <w:sz w:val="22"/>
          <w:szCs w:val="22"/>
        </w:rPr>
        <w:tab/>
      </w:r>
      <w:r>
        <w:rPr>
          <w:rFonts w:ascii="Arial" w:hAnsi="Arial"/>
          <w:sz w:val="22"/>
          <w:szCs w:val="22"/>
          <w:rtl w:val="0"/>
          <w:lang w:val="en-US"/>
        </w:rPr>
        <w:t>The central tool of the thesis is the spICP-TOFMS at the PARI-IPGP platform, the only instrument of this type dedicated to environmental research in France. It enables the detection and characterization of individual NPs suspended in water: simultaneous multi-elemental composition across the full periodic table, spherical equivalent size (detection limit ~30</w:t>
      </w:r>
      <w:r>
        <w:rPr>
          <w:rFonts w:ascii="Arial" w:hAnsi="Arial" w:hint="default"/>
          <w:sz w:val="22"/>
          <w:szCs w:val="22"/>
          <w:rtl w:val="0"/>
        </w:rPr>
        <w:t>–</w:t>
      </w:r>
      <w:r>
        <w:rPr>
          <w:rFonts w:ascii="Arial" w:hAnsi="Arial"/>
          <w:sz w:val="22"/>
          <w:szCs w:val="22"/>
          <w:rtl w:val="0"/>
          <w:lang w:val="en-US"/>
        </w:rPr>
        <w:t>40 nm depending on the element) and counting rates up to 10,000 particles per minute.</w:t>
      </w:r>
    </w:p>
    <w:p>
      <w:pPr>
        <w:pStyle w:val="Par dé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1"/>
        <w:spacing w:before="0" w:after="120" w:line="240" w:lineRule="auto"/>
        <w:jc w:val="both"/>
        <w:rPr>
          <w:rFonts w:ascii="Arial" w:cs="Arial" w:hAnsi="Arial" w:eastAsia="Arial"/>
          <w:sz w:val="22"/>
          <w:szCs w:val="22"/>
        </w:rPr>
      </w:pPr>
      <w:r>
        <w:rPr>
          <w:rFonts w:ascii="Arial" w:cs="Arial" w:hAnsi="Arial" w:eastAsia="Arial"/>
          <w:sz w:val="22"/>
          <w:szCs w:val="22"/>
        </w:rPr>
        <w:tab/>
      </w:r>
      <w:r>
        <w:rPr>
          <w:rFonts w:ascii="Arial" w:hAnsi="Arial"/>
          <w:sz w:val="22"/>
          <w:szCs w:val="22"/>
          <w:rtl w:val="0"/>
          <w:lang w:val="en-US"/>
        </w:rPr>
        <w:t>The sampling strategy will be built around a longitudinal sampling design (along the watershed</w:t>
      </w:r>
      <w:r>
        <w:rPr>
          <w:rFonts w:ascii="Arial" w:hAnsi="Arial" w:hint="default"/>
          <w:sz w:val="22"/>
          <w:szCs w:val="22"/>
          <w:rtl w:val="0"/>
        </w:rPr>
        <w:t>–</w:t>
      </w:r>
      <w:r>
        <w:rPr>
          <w:rFonts w:ascii="Arial" w:hAnsi="Arial"/>
          <w:sz w:val="22"/>
          <w:szCs w:val="22"/>
          <w:rtl w:val="0"/>
          <w:lang w:val="en-US"/>
        </w:rPr>
        <w:t>treatment plant</w:t>
      </w:r>
      <w:r>
        <w:rPr>
          <w:rFonts w:ascii="Arial" w:hAnsi="Arial" w:hint="default"/>
          <w:sz w:val="22"/>
          <w:szCs w:val="22"/>
          <w:rtl w:val="0"/>
        </w:rPr>
        <w:t>–</w:t>
      </w:r>
      <w:r>
        <w:rPr>
          <w:rFonts w:ascii="Arial" w:hAnsi="Arial"/>
          <w:sz w:val="22"/>
          <w:szCs w:val="22"/>
          <w:rtl w:val="0"/>
          <w:lang w:val="en-US"/>
        </w:rPr>
        <w:t>network continuum) and a temporal one (multi-year monitoring covering contrasting hydroclimatic regimes, drawing on existing meteorological and hydrological data). It will combine: (i) scheduled campaigns under contrasting regimes (winter low flow, summer low flow, heatwave, flood), (ii) high-frequency monitoring at sentinel points (treatment plant inlet and outlet, representative points across the public and private network), and (iii) controlled laboratory experiments reproducing the extreme parameters measured in the field.</w:t>
      </w:r>
    </w:p>
    <w:p>
      <w:pPr>
        <w:pStyle w:val="Par dé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1"/>
        <w:spacing w:before="0" w:after="120" w:line="240" w:lineRule="auto"/>
        <w:jc w:val="both"/>
        <w:rPr>
          <w:rFonts w:ascii="Arial" w:cs="Arial" w:hAnsi="Arial" w:eastAsia="Arial"/>
          <w:sz w:val="22"/>
          <w:szCs w:val="22"/>
        </w:rPr>
      </w:pPr>
      <w:r>
        <w:rPr>
          <w:rFonts w:ascii="Arial" w:cs="Arial" w:hAnsi="Arial" w:eastAsia="Arial"/>
          <w:sz w:val="22"/>
          <w:szCs w:val="22"/>
        </w:rPr>
        <w:tab/>
      </w:r>
      <w:r>
        <w:rPr>
          <w:rFonts w:ascii="Arial" w:hAnsi="Arial"/>
          <w:sz w:val="22"/>
          <w:szCs w:val="22"/>
          <w:rtl w:val="0"/>
          <w:lang w:val="en-US"/>
        </w:rPr>
        <w:t xml:space="preserve">This thesis is embedded within the nanoTAP project (AMI PISE 2025, CNRS </w:t>
      </w:r>
      <w:r>
        <w:rPr>
          <w:rFonts w:ascii="Arial" w:hAnsi="Arial" w:hint="default"/>
          <w:sz w:val="22"/>
          <w:szCs w:val="22"/>
          <w:rtl w:val="0"/>
          <w:lang w:val="en-US"/>
        </w:rPr>
        <w:t xml:space="preserve">— </w:t>
      </w:r>
      <w:r>
        <w:rPr>
          <w:rFonts w:ascii="Arial" w:hAnsi="Arial"/>
          <w:sz w:val="22"/>
          <w:szCs w:val="22"/>
          <w:rtl w:val="0"/>
          <w:lang w:val="en-US"/>
        </w:rPr>
        <w:t>"One Health", 3 years, 180k</w:t>
      </w:r>
      <w:r>
        <w:rPr>
          <w:rFonts w:ascii="Arial" w:hAnsi="Arial" w:hint="default"/>
          <w:sz w:val="22"/>
          <w:szCs w:val="22"/>
          <w:rtl w:val="0"/>
          <w:lang w:val="pt-PT"/>
        </w:rPr>
        <w:t>€</w:t>
      </w:r>
      <w:r>
        <w:rPr>
          <w:rFonts w:ascii="Arial" w:hAnsi="Arial"/>
          <w:sz w:val="22"/>
          <w:szCs w:val="22"/>
          <w:rtl w:val="0"/>
          <w:lang w:val="en-US"/>
        </w:rPr>
        <w:t>), which provides an interdisciplinary framework through collaboration with Pierre-Andr</w:t>
      </w:r>
      <w:r>
        <w:rPr>
          <w:rFonts w:ascii="Arial" w:hAnsi="Arial" w:hint="default"/>
          <w:sz w:val="22"/>
          <w:szCs w:val="22"/>
          <w:rtl w:val="0"/>
          <w:lang w:val="fr-FR"/>
        </w:rPr>
        <w:t xml:space="preserve">é </w:t>
      </w:r>
      <w:r>
        <w:rPr>
          <w:rFonts w:ascii="Arial" w:hAnsi="Arial"/>
          <w:sz w:val="22"/>
          <w:szCs w:val="22"/>
          <w:rtl w:val="0"/>
          <w:lang w:val="fr-FR"/>
        </w:rPr>
        <w:t>Juven (CERMES3, UMR CNRS</w:t>
      </w:r>
      <w:r>
        <w:rPr>
          <w:rFonts w:ascii="Arial" w:hAnsi="Arial" w:hint="default"/>
          <w:sz w:val="22"/>
          <w:szCs w:val="22"/>
          <w:rtl w:val="0"/>
        </w:rPr>
        <w:t>–</w:t>
      </w:r>
      <w:r>
        <w:rPr>
          <w:rFonts w:ascii="Arial" w:hAnsi="Arial"/>
          <w:sz w:val="22"/>
          <w:szCs w:val="22"/>
          <w:rtl w:val="0"/>
          <w:lang w:val="de-DE"/>
        </w:rPr>
        <w:t>INSERM</w:t>
      </w:r>
      <w:r>
        <w:rPr>
          <w:rFonts w:ascii="Arial" w:hAnsi="Arial" w:hint="default"/>
          <w:sz w:val="22"/>
          <w:szCs w:val="22"/>
          <w:rtl w:val="0"/>
        </w:rPr>
        <w:t>–</w:t>
      </w:r>
      <w:r>
        <w:rPr>
          <w:rFonts w:ascii="Arial" w:hAnsi="Arial"/>
          <w:sz w:val="22"/>
          <w:szCs w:val="22"/>
          <w:rtl w:val="0"/>
          <w:lang w:val="de-DE"/>
        </w:rPr>
        <w:t>EHESS</w:t>
      </w:r>
      <w:r>
        <w:rPr>
          <w:rFonts w:ascii="Arial" w:hAnsi="Arial" w:hint="default"/>
          <w:sz w:val="22"/>
          <w:szCs w:val="22"/>
          <w:rtl w:val="0"/>
        </w:rPr>
        <w:t>–</w:t>
      </w:r>
      <w:r>
        <w:rPr>
          <w:rFonts w:ascii="Arial" w:hAnsi="Arial"/>
          <w:sz w:val="22"/>
          <w:szCs w:val="22"/>
          <w:rtl w:val="0"/>
        </w:rPr>
        <w:t>Universit</w:t>
      </w:r>
      <w:r>
        <w:rPr>
          <w:rFonts w:ascii="Arial" w:hAnsi="Arial" w:hint="default"/>
          <w:sz w:val="22"/>
          <w:szCs w:val="22"/>
          <w:rtl w:val="0"/>
          <w:lang w:val="fr-FR"/>
        </w:rPr>
        <w:t xml:space="preserve">é </w:t>
      </w:r>
      <w:r>
        <w:rPr>
          <w:rFonts w:ascii="Arial" w:hAnsi="Arial"/>
          <w:sz w:val="22"/>
          <w:szCs w:val="22"/>
          <w:rtl w:val="0"/>
          <w:lang w:val="fr-FR"/>
        </w:rPr>
        <w:t>Paris Cit</w:t>
      </w:r>
      <w:r>
        <w:rPr>
          <w:rFonts w:ascii="Arial" w:hAnsi="Arial" w:hint="default"/>
          <w:sz w:val="22"/>
          <w:szCs w:val="22"/>
          <w:rtl w:val="0"/>
          <w:lang w:val="fr-FR"/>
        </w:rPr>
        <w:t>é</w:t>
      </w:r>
      <w:r>
        <w:rPr>
          <w:rFonts w:ascii="Arial" w:hAnsi="Arial"/>
          <w:sz w:val="22"/>
          <w:szCs w:val="22"/>
          <w:rtl w:val="0"/>
          <w:lang w:val="en-US"/>
        </w:rPr>
        <w:t xml:space="preserve">), a health sociologist whose work focuses on environmental inequalities and risk perception in public health. This collaboration will allow geochemical data on TM speciation to be crossed with a sociological analysis of exposure conditions </w:t>
      </w:r>
      <w:r>
        <w:rPr>
          <w:rFonts w:ascii="Arial" w:hAnsi="Arial" w:hint="default"/>
          <w:sz w:val="22"/>
          <w:szCs w:val="22"/>
          <w:rtl w:val="0"/>
          <w:lang w:val="en-US"/>
        </w:rPr>
        <w:t xml:space="preserve">— </w:t>
      </w:r>
      <w:r>
        <w:rPr>
          <w:rFonts w:ascii="Arial" w:hAnsi="Arial"/>
          <w:sz w:val="22"/>
          <w:szCs w:val="22"/>
          <w:rtl w:val="0"/>
          <w:lang w:val="en-US"/>
        </w:rPr>
        <w:t xml:space="preserve">based on housing characteristics, neighborhood features and user practices </w:t>
      </w:r>
      <w:r>
        <w:rPr>
          <w:rFonts w:ascii="Arial" w:hAnsi="Arial" w:hint="default"/>
          <w:sz w:val="22"/>
          <w:szCs w:val="22"/>
          <w:rtl w:val="0"/>
          <w:lang w:val="en-US"/>
        </w:rPr>
        <w:t xml:space="preserve">— </w:t>
      </w:r>
      <w:r>
        <w:rPr>
          <w:rFonts w:ascii="Arial" w:hAnsi="Arial"/>
          <w:sz w:val="22"/>
          <w:szCs w:val="22"/>
          <w:rtl w:val="0"/>
          <w:lang w:val="en-US"/>
        </w:rPr>
        <w:t>contributing to an integrated approach to environmental inequalities related to drinking water quality in Paris. In addition, privileged access to the Paris distribution network is secured through a partnership with Eau de Paris, a stakeholder in the nanoTAP project.</w:t>
      </w:r>
    </w:p>
    <w:p>
      <w:pPr>
        <w:pStyle w:val="Par dé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1"/>
        <w:spacing w:before="0" w:line="240" w:lineRule="auto"/>
        <w:jc w:val="both"/>
        <w:rPr>
          <w:rFonts w:ascii="Arial" w:cs="Arial" w:hAnsi="Arial" w:eastAsia="Arial"/>
          <w:sz w:val="22"/>
          <w:szCs w:val="22"/>
        </w:rPr>
      </w:pPr>
    </w:p>
    <w:p>
      <w:pPr>
        <w:pStyle w:val="Corp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pPr>
      <w:r>
        <w:rPr>
          <w:rStyle w:val="Aucun"/>
          <w:b w:val="1"/>
          <w:bCs w:val="1"/>
          <w:rtl w:val="0"/>
          <w:lang w:val="en-US"/>
        </w:rPr>
        <w:t>Candidate profile</w:t>
      </w:r>
    </w:p>
    <w:p>
      <w:pPr>
        <w:pStyle w:val="Corp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pPr>
      <w:r>
        <w:tab/>
      </w:r>
      <w:r>
        <w:rPr>
          <w:rtl w:val="0"/>
          <w:lang w:val="en-US"/>
        </w:rPr>
        <w:t xml:space="preserve">Applicants should have a strong background in geochemistry and/or analytical chemistry (Master's degree or equivalent). An interest in interdisciplinarity </w:t>
      </w:r>
      <w:r>
        <w:rPr>
          <w:rtl w:val="0"/>
          <w:lang w:val="fr-FR"/>
        </w:rPr>
        <w:t>(</w:t>
      </w:r>
      <w:r>
        <w:rPr>
          <w:rtl w:val="0"/>
          <w:lang w:val="en-US"/>
        </w:rPr>
        <w:t>i.e. an ability to approach Anthropocene environmental problems beyond the strictly geochemical perspective</w:t>
      </w:r>
      <w:r>
        <w:rPr>
          <w:rtl w:val="0"/>
          <w:lang w:val="fr-FR"/>
        </w:rPr>
        <w:t>)</w:t>
      </w:r>
      <w:r>
        <w:rPr>
          <w:rtl w:val="0"/>
          <w:lang w:val="en-US"/>
        </w:rPr>
        <w:t xml:space="preserve"> as well as fieldwork experience (sampling in natural environments and distribution networks) and proficiency in multivariate data analysis are desirable. A good command of scientific English is essential.</w:t>
      </w:r>
    </w:p>
    <w:p>
      <w:pPr>
        <w:pStyle w:val="Corp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pPr>
    </w:p>
    <w:p>
      <w:pPr>
        <w:pStyle w:val="Corp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pPr>
      <w:r>
        <w:rPr>
          <w:rStyle w:val="Aucun"/>
          <w:b w:val="1"/>
          <w:bCs w:val="1"/>
          <w:rtl w:val="0"/>
          <w:lang w:val="pt-PT"/>
        </w:rPr>
        <w:t>Application</w:t>
      </w:r>
    </w:p>
    <w:p>
      <w:pPr>
        <w:pStyle w:val="Par dé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1"/>
        <w:spacing w:before="0" w:after="120" w:line="240" w:lineRule="auto"/>
        <w:jc w:val="both"/>
        <w:rPr>
          <w:rFonts w:ascii="Arial" w:cs="Arial" w:hAnsi="Arial" w:eastAsia="Arial"/>
          <w:sz w:val="22"/>
          <w:szCs w:val="22"/>
        </w:rPr>
      </w:pPr>
      <w:r>
        <w:rPr>
          <w:rFonts w:ascii="Arial" w:cs="Arial" w:hAnsi="Arial" w:eastAsia="Arial"/>
          <w:sz w:val="22"/>
          <w:szCs w:val="22"/>
        </w:rPr>
        <w:tab/>
      </w:r>
      <w:r>
        <w:rPr>
          <w:rFonts w:ascii="Arial" w:hAnsi="Arial"/>
          <w:sz w:val="22"/>
          <w:szCs w:val="22"/>
          <w:rtl w:val="0"/>
          <w:lang w:val="en-US"/>
        </w:rPr>
        <w:t>Applications should be sent as soon as possible by email to the supervisors. The application package must include:</w:t>
      </w:r>
    </w:p>
    <w:p>
      <w:pPr>
        <w:pStyle w:val="Par défaut"/>
        <w:numPr>
          <w:ilvl w:val="0"/>
          <w:numId w:val="5"/>
        </w:numPr>
        <w:suppressAutoHyphens w:val="1"/>
        <w:spacing w:before="0" w:after="120" w:line="240" w:lineRule="auto"/>
        <w:jc w:val="both"/>
        <w:rPr>
          <w:rFonts w:ascii="Arial" w:hAnsi="Arial"/>
          <w:sz w:val="22"/>
          <w:szCs w:val="22"/>
          <w:lang w:val="it-IT"/>
        </w:rPr>
      </w:pPr>
      <w:r>
        <w:rPr>
          <w:rFonts w:ascii="Arial" w:hAnsi="Arial"/>
          <w:sz w:val="22"/>
          <w:szCs w:val="22"/>
          <w:rtl w:val="0"/>
          <w:lang w:val="it-IT"/>
        </w:rPr>
        <w:t>A curriculum vitae</w:t>
      </w:r>
    </w:p>
    <w:p>
      <w:pPr>
        <w:pStyle w:val="Par défaut"/>
        <w:numPr>
          <w:ilvl w:val="0"/>
          <w:numId w:val="5"/>
        </w:numPr>
        <w:suppressAutoHyphens w:val="1"/>
        <w:spacing w:before="0" w:after="120" w:line="240" w:lineRule="auto"/>
        <w:jc w:val="both"/>
        <w:rPr>
          <w:rFonts w:ascii="Arial" w:hAnsi="Arial"/>
          <w:sz w:val="22"/>
          <w:szCs w:val="22"/>
          <w:lang w:val="en-US"/>
        </w:rPr>
      </w:pPr>
      <w:r>
        <w:rPr>
          <w:rFonts w:ascii="Arial" w:hAnsi="Arial"/>
          <w:sz w:val="22"/>
          <w:szCs w:val="22"/>
          <w:rtl w:val="0"/>
          <w:lang w:val="en-US"/>
        </w:rPr>
        <w:t>A cover letter (one page maximum)</w:t>
      </w:r>
    </w:p>
    <w:p>
      <w:pPr>
        <w:pStyle w:val="Par défaut"/>
        <w:numPr>
          <w:ilvl w:val="0"/>
          <w:numId w:val="5"/>
        </w:numPr>
        <w:suppressAutoHyphens w:val="1"/>
        <w:spacing w:before="0" w:after="120" w:line="240" w:lineRule="auto"/>
        <w:jc w:val="both"/>
        <w:rPr>
          <w:rFonts w:ascii="Arial" w:hAnsi="Arial"/>
          <w:sz w:val="22"/>
          <w:szCs w:val="22"/>
          <w:lang w:val="en-US"/>
        </w:rPr>
      </w:pPr>
      <w:r>
        <w:rPr>
          <w:rFonts w:ascii="Arial" w:hAnsi="Arial"/>
          <w:sz w:val="22"/>
          <w:szCs w:val="22"/>
          <w:rtl w:val="0"/>
          <w:lang w:val="en-US"/>
        </w:rPr>
        <w:t>At least one reference letter from a previous supervisor</w:t>
      </w:r>
    </w:p>
    <w:p>
      <w:pPr>
        <w:pStyle w:val="Par dé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1"/>
        <w:spacing w:before="0" w:after="120" w:line="240" w:lineRule="auto"/>
        <w:jc w:val="both"/>
        <w:rPr>
          <w:rFonts w:ascii="Arial" w:cs="Arial" w:hAnsi="Arial" w:eastAsia="Arial"/>
          <w:sz w:val="22"/>
          <w:szCs w:val="22"/>
        </w:rPr>
      </w:pPr>
      <w:r>
        <w:rPr>
          <w:rFonts w:ascii="Arial" w:cs="Arial" w:hAnsi="Arial" w:eastAsia="Arial"/>
          <w:sz w:val="22"/>
          <w:szCs w:val="22"/>
        </w:rPr>
        <w:tab/>
      </w:r>
      <w:r>
        <w:rPr>
          <w:rFonts w:ascii="Arial" w:hAnsi="Arial"/>
          <w:sz w:val="22"/>
          <w:szCs w:val="22"/>
          <w:rtl w:val="0"/>
          <w:lang w:val="en-US"/>
        </w:rPr>
        <w:t>Interviews of shortlisted candidates will be scheduled as soon as possible after the application deadline.</w:t>
      </w:r>
    </w:p>
    <w:p>
      <w:pPr>
        <w:pStyle w:val="Par dé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1"/>
        <w:spacing w:before="0" w:after="120" w:line="240" w:lineRule="auto"/>
        <w:jc w:val="both"/>
      </w:pPr>
      <w:r>
        <w:rPr>
          <w:rStyle w:val="Aucun"/>
          <w:rFonts w:ascii="Arial" w:hAnsi="Arial"/>
          <w:b w:val="1"/>
          <w:bCs w:val="1"/>
          <w:sz w:val="22"/>
          <w:szCs w:val="22"/>
          <w:rtl w:val="0"/>
          <w:lang w:val="en-US"/>
        </w:rPr>
        <w:t>Keywords:</w:t>
      </w:r>
      <w:r>
        <w:rPr>
          <w:rFonts w:ascii="Arial" w:hAnsi="Arial"/>
          <w:sz w:val="22"/>
          <w:szCs w:val="22"/>
          <w:rtl w:val="0"/>
          <w:lang w:val="en-US"/>
        </w:rPr>
        <w:t xml:space="preserve"> drinking water </w:t>
      </w:r>
      <w:r>
        <w:rPr>
          <w:rFonts w:ascii="Arial" w:hAnsi="Arial" w:hint="default"/>
          <w:sz w:val="22"/>
          <w:szCs w:val="22"/>
          <w:rtl w:val="0"/>
          <w:lang w:val="de-DE"/>
        </w:rPr>
        <w:t xml:space="preserve">· </w:t>
      </w:r>
      <w:r>
        <w:rPr>
          <w:rFonts w:ascii="Arial" w:hAnsi="Arial"/>
          <w:sz w:val="22"/>
          <w:szCs w:val="22"/>
          <w:rtl w:val="0"/>
          <w:lang w:val="en-US"/>
        </w:rPr>
        <w:t xml:space="preserve">resilience </w:t>
      </w:r>
      <w:r>
        <w:rPr>
          <w:rFonts w:ascii="Arial" w:hAnsi="Arial" w:hint="default"/>
          <w:sz w:val="22"/>
          <w:szCs w:val="22"/>
          <w:rtl w:val="0"/>
          <w:lang w:val="de-DE"/>
        </w:rPr>
        <w:t xml:space="preserve">· </w:t>
      </w:r>
      <w:r>
        <w:rPr>
          <w:rFonts w:ascii="Arial" w:hAnsi="Arial"/>
          <w:sz w:val="22"/>
          <w:szCs w:val="22"/>
          <w:rtl w:val="0"/>
          <w:lang w:val="en-US"/>
        </w:rPr>
        <w:t xml:space="preserve">habitability </w:t>
      </w:r>
      <w:r>
        <w:rPr>
          <w:rFonts w:ascii="Arial" w:hAnsi="Arial" w:hint="default"/>
          <w:sz w:val="22"/>
          <w:szCs w:val="22"/>
          <w:rtl w:val="0"/>
          <w:lang w:val="de-DE"/>
        </w:rPr>
        <w:t xml:space="preserve">· </w:t>
      </w:r>
      <w:r>
        <w:rPr>
          <w:rFonts w:ascii="Arial" w:hAnsi="Arial"/>
          <w:sz w:val="22"/>
          <w:szCs w:val="22"/>
          <w:rtl w:val="0"/>
        </w:rPr>
        <w:t xml:space="preserve">nanogeochemistry </w:t>
      </w:r>
      <w:r>
        <w:rPr>
          <w:rFonts w:ascii="Arial" w:hAnsi="Arial" w:hint="default"/>
          <w:sz w:val="22"/>
          <w:szCs w:val="22"/>
          <w:rtl w:val="0"/>
          <w:lang w:val="de-DE"/>
        </w:rPr>
        <w:t xml:space="preserve">· </w:t>
      </w:r>
      <w:r>
        <w:rPr>
          <w:rFonts w:ascii="Arial" w:hAnsi="Arial"/>
          <w:sz w:val="22"/>
          <w:szCs w:val="22"/>
          <w:rtl w:val="0"/>
          <w:lang w:val="pt-PT"/>
        </w:rPr>
        <w:t xml:space="preserve">spICP-TOFMS </w:t>
      </w:r>
      <w:r>
        <w:rPr>
          <w:rFonts w:ascii="Arial" w:hAnsi="Arial" w:hint="default"/>
          <w:sz w:val="22"/>
          <w:szCs w:val="22"/>
          <w:rtl w:val="0"/>
          <w:lang w:val="de-DE"/>
        </w:rPr>
        <w:t xml:space="preserve">· </w:t>
      </w:r>
      <w:r>
        <w:rPr>
          <w:rFonts w:ascii="Arial" w:hAnsi="Arial"/>
          <w:sz w:val="22"/>
          <w:szCs w:val="22"/>
          <w:rtl w:val="0"/>
          <w:lang w:val="fr-FR"/>
        </w:rPr>
        <w:t>Paris</w:t>
      </w:r>
    </w:p>
    <w:sectPr>
      <w:headerReference w:type="default" r:id="rId5"/>
      <w:footerReference w:type="default" r:id="rId6"/>
      <w:pgSz w:w="11900" w:h="16840" w:orient="portrait"/>
      <w:pgMar w:top="851" w:right="1134" w:bottom="846" w:left="1134" w:header="567" w:footer="28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pied de page"/>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556500" cy="10693400"/>
              <wp:effectExtent l="0" t="0" r="0" b="0"/>
              <wp:wrapNone/>
              <wp:docPr id="1073741825" name="officeArt object" descr="Rectangle"/>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9"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ombres"/>
  </w:abstractNum>
  <w:abstractNum w:abstractNumId="1">
    <w:multiLevelType w:val="hybridMultilevel"/>
    <w:styleLink w:val="Nombres"/>
    <w:lvl w:ilvl="0">
      <w:start w:val="1"/>
      <w:numFmt w:val="decimal"/>
      <w:suff w:val="tab"/>
      <w:lvlText w:val="%1."/>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9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1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3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55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7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99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21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43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Nombres.0"/>
  </w:abstractNum>
  <w:abstractNum w:abstractNumId="3">
    <w:multiLevelType w:val="hybridMultilevel"/>
    <w:styleLink w:val="Nombres.0"/>
    <w:lvl w:ilvl="0">
      <w:start w:val="1"/>
      <w:numFmt w:val="decimal"/>
      <w:suff w:val="tab"/>
      <w:lvlText w:val="%1."/>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9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1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3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55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7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99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21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43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08"/>
  <w:autoHyphenation w:val="0"/>
  <w:evenAndOddHeaders w:val="0"/>
  <w:bookFoldPrinting w:val="0"/>
  <w:noLineBreaksAfter w:lang="français" w:val="‘“(〔[{〈《「『【⦅〘〖«〝︵︷︹︻︽︿﹁﹃﹇﹙﹛﹝｢"/>
  <w:noLineBreaksBefore w:lang="françai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both"/>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fr-FR"/>
      <w14:textOutline w14:w="12700" w14:cap="flat">
        <w14:noFill/>
        <w14:miter w14:lim="400000"/>
      </w14:textOutline>
      <w14:textFill>
        <w14:solidFill>
          <w14:srgbClr w14:val="000000"/>
        </w14:solidFill>
      </w14:textFill>
    </w:rPr>
  </w:style>
  <w:style w:type="paragraph" w:styleId="En-tête, pied de page">
    <w:name w:val="En-tête"/>
    <w:next w:val="En-tête, pied de pag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Aucun">
    <w:name w:val="Aucun"/>
  </w:style>
  <w:style w:type="character" w:styleId="Hyperlink.0">
    <w:name w:val="Hyperlink.0"/>
    <w:basedOn w:val="Aucun"/>
    <w:next w:val="Hyperlink.0"/>
    <w:rPr>
      <w:lang w:val="pt-PT"/>
    </w:rPr>
  </w:style>
  <w:style w:type="paragraph" w:styleId="Corps">
    <w:name w:val="Corps"/>
    <w:next w:val="Corps"/>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Par défaut">
    <w:name w:val="Par défaut"/>
    <w:next w:val="Par défau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Nombres">
    <w:name w:val="Nombres"/>
    <w:pPr>
      <w:numPr>
        <w:numId w:val="1"/>
      </w:numPr>
    </w:pPr>
  </w:style>
  <w:style w:type="numbering" w:styleId="Nombres.0">
    <w:name w:val="Nombres.0"/>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